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19/07/2021</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 pm-2.00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Jyoti Baviskar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(Odd Semester) of Academic Year: 2020- 2021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2021-22.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OAibzgP1t+EpbirJgNnhiuBhZQ==">CgMxLjAyCGguZ2pkZ3hzOAByITE5Z3NIaVVtdVNMWUt3WVQ2c0w1X1FlalRLN25QTXpwdA==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