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2.00 pm-3.30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S2ewn5HYh23c1SY219tjn2olpQ==">CgMxLjA4AHIhMVI5SXpsX1BNMVdvTU1tNk5hQ0tHNGVsWXZ3OTZmUXgy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