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11.00 pm-12.30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/RTY6phKn9wTEaypNuppyd4TmQ==">CgMxLjA4AHIhMTNsWmR5NW80T19sV3lTcDZ1bEhvYURRcmhTQzdvem5p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