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Anti-Ragging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11.30 pm-12.30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Updates on Anti-Ragging Initiatives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Member provided an update on the ongoing anti-ragging initiatives within the institution. This included awareness campaigns, workshops, and measures taken to prevent ragging incidents.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Ragging Complaints (if any)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 presented any ragging complaints received. Each case was discussed in detail, including the actions taken and the status of investigations.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Measures to Strengthen Prevention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discussed additional measures to strengthen the prevention of ragging incidents. This included: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awareness campaigns among students.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workshops and seminars on the consequences of ragging.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Strengthening the reporting mechanism for victims and witnesses.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Reviewing and updating the institution's anti-ragging policy.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cmuZszJcAuxncHKGunFFlBuHkA==">CgMxLjA4AHIhMUgydGQ5YXg5QldNRlF0WHhlMzAwTDQ4Y19jY2pURWdu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