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13/07/2022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2.00 pm-3.00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l17CvDQKI/Hqz9H6erV+KrRNWQ==">CgMxLjA4AHIhMXZ3UG9iX3hQTmxhLWhseGJEX0xRdXdtdzVOY2VYb0ZE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